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86" w:rsidRDefault="007617A1" w:rsidP="00540B86">
      <w:pPr>
        <w:spacing w:after="0" w:line="264" w:lineRule="auto"/>
        <w:jc w:val="right"/>
        <w:rPr>
          <w:rFonts w:ascii="Times New Roman" w:hAnsi="Times New Roman" w:cs="Times New Roman"/>
          <w:b/>
          <w:bCs/>
          <w:sz w:val="32"/>
          <w:szCs w:val="24"/>
          <w:lang w:eastAsia="ar-EG" w:bidi="ar-EG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-396240</wp:posOffset>
            </wp:positionV>
            <wp:extent cx="3038475" cy="3030855"/>
            <wp:effectExtent l="0" t="0" r="9525" b="0"/>
            <wp:wrapNone/>
            <wp:docPr id="3" name="Рисунок 3" descr="C:\Users\user\Desktop\photo_2021-02-01_14-48-32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photo_2021-02-01_14-48-3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B86"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-365760</wp:posOffset>
            </wp:positionV>
            <wp:extent cx="149860" cy="159385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59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B86">
        <w:rPr>
          <w:rFonts w:ascii="Times New Roman" w:hAnsi="Times New Roman" w:cs="Times New Roman"/>
          <w:bCs/>
          <w:sz w:val="24"/>
          <w:szCs w:val="24"/>
          <w:lang w:eastAsia="ar-EG" w:bidi="ar-EG"/>
        </w:rPr>
        <w:t xml:space="preserve">                    </w:t>
      </w:r>
    </w:p>
    <w:p w:rsidR="007617A1" w:rsidRDefault="007617A1" w:rsidP="00540B86">
      <w:pPr>
        <w:spacing w:after="0" w:line="264" w:lineRule="auto"/>
        <w:jc w:val="right"/>
        <w:rPr>
          <w:rFonts w:ascii="Times New Roman" w:hAnsi="Times New Roman" w:cs="Times New Roman"/>
          <w:b/>
          <w:bCs/>
          <w:sz w:val="32"/>
          <w:szCs w:val="24"/>
          <w:lang w:eastAsia="ar-EG" w:bidi="ar-EG"/>
        </w:rPr>
      </w:pPr>
    </w:p>
    <w:p w:rsidR="00540B86" w:rsidRDefault="00540B86" w:rsidP="00540B8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  <w:lang w:eastAsia="ar-EG" w:bidi="ar-EG"/>
        </w:rPr>
        <w:t>Открытые Бизнес Технологии</w:t>
      </w:r>
    </w:p>
    <w:p w:rsidR="00540B86" w:rsidRDefault="00540B86" w:rsidP="00540B86">
      <w:pPr>
        <w:tabs>
          <w:tab w:val="left" w:pos="3686"/>
          <w:tab w:val="left" w:pos="4536"/>
          <w:tab w:val="left" w:pos="5103"/>
          <w:tab w:val="left" w:pos="6379"/>
        </w:tabs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д.2а, г. Волгоград, 400131</w:t>
      </w:r>
    </w:p>
    <w:p w:rsidR="00540B86" w:rsidRDefault="00540B86" w:rsidP="00540B86">
      <w:pPr>
        <w:spacing w:after="0" w:line="264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ИНН 3441019145, ОГРН 1023402458397</w:t>
      </w: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right"/>
        <w:rPr>
          <w:lang w:val="ru-RU"/>
        </w:rPr>
      </w:pPr>
      <w:r>
        <w:rPr>
          <w:lang w:val="ru-RU"/>
        </w:rPr>
        <w:t xml:space="preserve">Тел./факс: 8 (8442) 34-56-78, </w:t>
      </w: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right"/>
        <w:rPr>
          <w:rFonts w:eastAsia="Tahoma"/>
          <w:lang w:val="ru-RU"/>
        </w:rPr>
      </w:pPr>
      <w:proofErr w:type="gramStart"/>
      <w:r>
        <w:t>e</w:t>
      </w:r>
      <w:r w:rsidRPr="004C3B6B">
        <w:t>-</w:t>
      </w:r>
      <w:r>
        <w:t>mail</w:t>
      </w:r>
      <w:proofErr w:type="gramEnd"/>
      <w:r w:rsidRPr="004C3B6B">
        <w:t xml:space="preserve">: </w:t>
      </w:r>
      <w:hyperlink r:id="rId9" w:history="1">
        <w:r>
          <w:rPr>
            <w:rStyle w:val="a8"/>
          </w:rPr>
          <w:t>reception</w:t>
        </w:r>
      </w:hyperlink>
      <w:hyperlink r:id="rId10" w:history="1">
        <w:r w:rsidRPr="004C3B6B">
          <w:rPr>
            <w:rStyle w:val="a8"/>
          </w:rPr>
          <w:t>@</w:t>
        </w:r>
      </w:hyperlink>
      <w:hyperlink r:id="rId11" w:history="1">
        <w:r>
          <w:rPr>
            <w:rStyle w:val="a8"/>
          </w:rPr>
          <w:t>obt</w:t>
        </w:r>
      </w:hyperlink>
      <w:hyperlink r:id="rId12" w:history="1">
        <w:r w:rsidRPr="004C3B6B">
          <w:rPr>
            <w:rStyle w:val="a8"/>
          </w:rPr>
          <w:t>-</w:t>
        </w:r>
      </w:hyperlink>
      <w:hyperlink r:id="rId13" w:history="1">
        <w:r>
          <w:rPr>
            <w:rStyle w:val="a8"/>
          </w:rPr>
          <w:t>vlg</w:t>
        </w:r>
      </w:hyperlink>
      <w:hyperlink r:id="rId14" w:history="1">
        <w:r w:rsidRPr="004C3B6B">
          <w:rPr>
            <w:rStyle w:val="a8"/>
          </w:rPr>
          <w:t>.</w:t>
        </w:r>
      </w:hyperlink>
      <w:hyperlink r:id="rId15" w:history="1">
        <w:proofErr w:type="gramStart"/>
        <w:r>
          <w:rPr>
            <w:rStyle w:val="a8"/>
          </w:rPr>
          <w:t>ru</w:t>
        </w:r>
        <w:proofErr w:type="gramEnd"/>
      </w:hyperlink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  <w:bookmarkStart w:id="0" w:name="_GoBack"/>
      <w:bookmarkEnd w:id="0"/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Pr="00FE3D6F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Pr="00FE3D6F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Pr="00FE3D6F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Инструкция по закрытию года в модуле «Бухгалтерия» </w:t>
      </w: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ПП </w:t>
      </w:r>
      <w:proofErr w:type="spellStart"/>
      <w:r>
        <w:rPr>
          <w:rFonts w:ascii="Times New Roman" w:hAnsi="Times New Roman" w:cs="Times New Roman"/>
          <w:b/>
          <w:bCs/>
          <w:sz w:val="32"/>
          <w:szCs w:val="24"/>
        </w:rPr>
        <w:t>Барс.Бухгалтерия</w:t>
      </w:r>
      <w:proofErr w:type="spellEnd"/>
      <w:r>
        <w:rPr>
          <w:rFonts w:ascii="Times New Roman" w:hAnsi="Times New Roman" w:cs="Times New Roman"/>
          <w:b/>
          <w:bCs/>
          <w:sz w:val="32"/>
          <w:szCs w:val="24"/>
        </w:rPr>
        <w:t>-Онлайн</w:t>
      </w: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Pr="004C3B6B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C3B6B">
        <w:rPr>
          <w:rFonts w:ascii="Times New Roman" w:hAnsi="Times New Roman" w:cs="Times New Roman"/>
          <w:b/>
          <w:bCs/>
          <w:sz w:val="28"/>
          <w:szCs w:val="24"/>
        </w:rPr>
        <w:t xml:space="preserve">Этап </w:t>
      </w:r>
      <w:r w:rsidR="004C3B6B" w:rsidRPr="004C3B6B">
        <w:rPr>
          <w:rFonts w:ascii="Times New Roman" w:hAnsi="Times New Roman" w:cs="Times New Roman"/>
          <w:b/>
          <w:bCs/>
          <w:sz w:val="28"/>
          <w:szCs w:val="24"/>
        </w:rPr>
        <w:t>2. Перенос остатков по счетам расчетов с контрагентами и прочим счетам на начало нового года</w:t>
      </w:r>
    </w:p>
    <w:p w:rsidR="004C3B6B" w:rsidRPr="004C3B6B" w:rsidRDefault="004C3B6B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C3B6B">
        <w:rPr>
          <w:rFonts w:ascii="Times New Roman" w:hAnsi="Times New Roman" w:cs="Times New Roman"/>
          <w:b/>
          <w:bCs/>
          <w:sz w:val="28"/>
          <w:szCs w:val="24"/>
        </w:rPr>
        <w:t>(новые КБК, аналитика и проч.)</w:t>
      </w: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6B" w:rsidRDefault="004C3B6B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6B" w:rsidRDefault="004C3B6B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6B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 2021</w:t>
      </w:r>
    </w:p>
    <w:p w:rsidR="004C3B6B" w:rsidRDefault="004C3B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4"/>
          <w:lang w:eastAsia="en-US"/>
        </w:rPr>
        <w:id w:val="6200308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sz w:val="22"/>
          <w:szCs w:val="22"/>
        </w:rPr>
      </w:sdtEndPr>
      <w:sdtContent>
        <w:p w:rsidR="00340628" w:rsidRDefault="00340628">
          <w:pPr>
            <w:pStyle w:val="a9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  <w:r w:rsidRPr="00340628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Оглавление</w:t>
          </w:r>
        </w:p>
        <w:p w:rsidR="00340628" w:rsidRPr="00340628" w:rsidRDefault="00340628" w:rsidP="00340628">
          <w:pPr>
            <w:rPr>
              <w:lang w:eastAsia="ru-RU"/>
            </w:rPr>
          </w:pPr>
        </w:p>
        <w:p w:rsidR="00340628" w:rsidRPr="00340628" w:rsidRDefault="00340628">
          <w:pPr>
            <w:pStyle w:val="21"/>
            <w:tabs>
              <w:tab w:val="left" w:pos="660"/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4062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4062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4062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3071050" w:history="1">
            <w:r w:rsidRPr="003406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Pr="0034062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406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Настройка Таблицы соответствия переноса остатков</w:t>
            </w:r>
            <w:r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_Toc63071050 \h </w:instrText>
            </w:r>
            <w:r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0628" w:rsidRPr="00340628" w:rsidRDefault="007617A1">
          <w:pPr>
            <w:pStyle w:val="21"/>
            <w:tabs>
              <w:tab w:val="left" w:pos="660"/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071051" w:history="1">
            <w:r w:rsidR="00340628" w:rsidRPr="003406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340628" w:rsidRPr="0034062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340628" w:rsidRPr="003406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Формирование документа переноса по функции «Перенос остатков на начало очередного года» в Закрытии года</w:t>
            </w:r>
            <w:r w:rsidR="00340628"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0628"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0628"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_Toc63071051 \h </w:instrText>
            </w:r>
            <w:r w:rsidR="00340628"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0628"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0628"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40628"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0628" w:rsidRDefault="00340628">
          <w:r w:rsidRPr="00340628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6B" w:rsidRDefault="004C3B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C3B6B" w:rsidRDefault="004C3B6B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Процесс переноса остатков </w:t>
      </w:r>
      <w:r w:rsidRPr="004C3B6B">
        <w:rPr>
          <w:rFonts w:ascii="Times New Roman" w:hAnsi="Times New Roman" w:cs="Times New Roman"/>
          <w:b/>
          <w:sz w:val="24"/>
          <w:szCs w:val="24"/>
        </w:rPr>
        <w:t>по счетам</w:t>
      </w:r>
      <w:r w:rsidRPr="004C3B6B">
        <w:rPr>
          <w:rFonts w:ascii="Times New Roman" w:hAnsi="Times New Roman" w:cs="Times New Roman"/>
          <w:sz w:val="24"/>
          <w:szCs w:val="24"/>
        </w:rPr>
        <w:t xml:space="preserve"> на начало очередного года осуществляется в 2 этапа:</w:t>
      </w:r>
    </w:p>
    <w:p w:rsidR="00C60B1C" w:rsidRPr="004C3B6B" w:rsidRDefault="000C6D11" w:rsidP="004C3B6B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Настройка Таблицы соответствия переноса остатков</w:t>
      </w:r>
    </w:p>
    <w:p w:rsidR="00C60B1C" w:rsidRPr="004C3B6B" w:rsidRDefault="000C6D11" w:rsidP="004C3B6B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Формирование документа переноса по функции «Перенос остатков на начало очередного года» в Закрытии года</w:t>
      </w:r>
    </w:p>
    <w:p w:rsidR="00C60B1C" w:rsidRPr="004C3B6B" w:rsidRDefault="00C60B1C" w:rsidP="004C3B6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pStyle w:val="2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1" w:name="_Toc63071050"/>
      <w:r w:rsidRPr="004C3B6B">
        <w:rPr>
          <w:rFonts w:ascii="Times New Roman" w:hAnsi="Times New Roman" w:cs="Times New Roman"/>
          <w:b/>
          <w:color w:val="auto"/>
          <w:sz w:val="28"/>
          <w:szCs w:val="24"/>
        </w:rPr>
        <w:t>Настройка Таблицы соответствия переноса остатков</w:t>
      </w:r>
      <w:bookmarkEnd w:id="1"/>
    </w:p>
    <w:p w:rsidR="004C3B6B" w:rsidRPr="004C3B6B" w:rsidRDefault="004C3B6B" w:rsidP="004C3B6B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b/>
          <w:sz w:val="24"/>
          <w:szCs w:val="24"/>
        </w:rPr>
        <w:t>Пункт меню:</w:t>
      </w:r>
      <w:r w:rsidRPr="004C3B6B">
        <w:rPr>
          <w:rFonts w:ascii="Times New Roman" w:hAnsi="Times New Roman" w:cs="Times New Roman"/>
          <w:sz w:val="24"/>
          <w:szCs w:val="24"/>
        </w:rPr>
        <w:t xml:space="preserve"> Администрирование – Таблицы соответствия переноса остатков.</w:t>
      </w:r>
    </w:p>
    <w:p w:rsidR="00C60B1C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Таблица соответствия переноса остатков (далее Таблица) предназначена для настройки новых значений КБК, аналитики КВД, аналитики к счету, а также новых счетов, на которые будут переноситься остатки по счетам. Пункт меню представляет из себя реестр с Таблицами (правая часть реестра), сгруппированными по годам (левая часть реестра). </w:t>
      </w:r>
    </w:p>
    <w:p w:rsidR="004C3B6B" w:rsidRPr="004C3B6B" w:rsidRDefault="004C3B6B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8435" cy="2990215"/>
            <wp:effectExtent l="0" t="0" r="0" b="635"/>
            <wp:docPr id="24" name="Рисунок 24" descr="C:\Users\bars\YandexDisk\Скриншоты\2019-12-26_10-50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C:\Users\bars\YandexDisk\Скриншоты\2019-12-26_10-50-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4053" cy="30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Реестр «Таблицы соответствия переноса остатков»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B6B">
        <w:rPr>
          <w:rFonts w:ascii="Times New Roman" w:hAnsi="Times New Roman" w:cs="Times New Roman"/>
          <w:b/>
          <w:sz w:val="24"/>
          <w:szCs w:val="24"/>
        </w:rPr>
        <w:t>Работа с левой частью реестра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В левой части реестра создаются записи для группировки Таблиц по годам. Для создания нового элемента необходимо нажать на </w:t>
      </w:r>
      <w:proofErr w:type="gramStart"/>
      <w:r w:rsidRPr="004C3B6B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B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3B6B">
        <w:rPr>
          <w:rFonts w:ascii="Times New Roman" w:hAnsi="Times New Roman" w:cs="Times New Roman"/>
          <w:sz w:val="24"/>
          <w:szCs w:val="24"/>
        </w:rPr>
        <w:t xml:space="preserve"> Откроется окно на</w:t>
      </w:r>
      <w:r w:rsidR="004C3B6B">
        <w:rPr>
          <w:rFonts w:ascii="Times New Roman" w:hAnsi="Times New Roman" w:cs="Times New Roman"/>
          <w:sz w:val="24"/>
          <w:szCs w:val="24"/>
        </w:rPr>
        <w:t>стройки дат для сбора остатков</w:t>
      </w:r>
      <w:r w:rsidRPr="004C3B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Даты </w:t>
      </w:r>
      <w:proofErr w:type="spellStart"/>
      <w:r w:rsidRPr="004C3B6B">
        <w:rPr>
          <w:rFonts w:ascii="Times New Roman" w:hAnsi="Times New Roman" w:cs="Times New Roman"/>
          <w:sz w:val="24"/>
          <w:szCs w:val="24"/>
        </w:rPr>
        <w:t>преднастраиваются</w:t>
      </w:r>
      <w:proofErr w:type="spellEnd"/>
      <w:r w:rsidRPr="004C3B6B">
        <w:rPr>
          <w:rFonts w:ascii="Times New Roman" w:hAnsi="Times New Roman" w:cs="Times New Roman"/>
          <w:sz w:val="24"/>
          <w:szCs w:val="24"/>
        </w:rPr>
        <w:t xml:space="preserve"> в зависимости от установленной рабочей даты. </w:t>
      </w:r>
      <w:r w:rsidRPr="004C3B6B">
        <w:rPr>
          <w:rFonts w:ascii="Times New Roman" w:hAnsi="Times New Roman" w:cs="Times New Roman"/>
          <w:i/>
          <w:sz w:val="24"/>
          <w:szCs w:val="24"/>
        </w:rPr>
        <w:t>Например, если рабочая дата системы попадает в период 20</w:t>
      </w:r>
      <w:r w:rsidR="00AF78DC" w:rsidRPr="004C3B6B">
        <w:rPr>
          <w:rFonts w:ascii="Times New Roman" w:hAnsi="Times New Roman" w:cs="Times New Roman"/>
          <w:i/>
          <w:sz w:val="24"/>
          <w:szCs w:val="24"/>
        </w:rPr>
        <w:t>20</w:t>
      </w:r>
      <w:r w:rsidRPr="004C3B6B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F78DC" w:rsidRPr="004C3B6B">
        <w:rPr>
          <w:rFonts w:ascii="Times New Roman" w:hAnsi="Times New Roman" w:cs="Times New Roman"/>
          <w:i/>
          <w:sz w:val="24"/>
          <w:szCs w:val="24"/>
        </w:rPr>
        <w:t>,</w:t>
      </w:r>
      <w:r w:rsidRPr="004C3B6B">
        <w:rPr>
          <w:rFonts w:ascii="Times New Roman" w:hAnsi="Times New Roman" w:cs="Times New Roman"/>
          <w:i/>
          <w:sz w:val="24"/>
          <w:szCs w:val="24"/>
        </w:rPr>
        <w:t xml:space="preserve"> то система автоматически заполнит поля «Переносить остатки с» датой 31.12.20</w:t>
      </w:r>
      <w:r w:rsidR="00AF78DC" w:rsidRPr="004C3B6B">
        <w:rPr>
          <w:rFonts w:ascii="Times New Roman" w:hAnsi="Times New Roman" w:cs="Times New Roman"/>
          <w:i/>
          <w:sz w:val="24"/>
          <w:szCs w:val="24"/>
        </w:rPr>
        <w:t>20</w:t>
      </w:r>
      <w:r w:rsidRPr="004C3B6B">
        <w:rPr>
          <w:rFonts w:ascii="Times New Roman" w:hAnsi="Times New Roman" w:cs="Times New Roman"/>
          <w:i/>
          <w:sz w:val="24"/>
          <w:szCs w:val="24"/>
        </w:rPr>
        <w:t xml:space="preserve"> (с этой даты будут собираться остатки) и «На» датой 01.01.202</w:t>
      </w:r>
      <w:r w:rsidR="00AF78DC" w:rsidRPr="004C3B6B">
        <w:rPr>
          <w:rFonts w:ascii="Times New Roman" w:hAnsi="Times New Roman" w:cs="Times New Roman"/>
          <w:i/>
          <w:sz w:val="24"/>
          <w:szCs w:val="24"/>
        </w:rPr>
        <w:t>1</w:t>
      </w:r>
      <w:r w:rsidRPr="004C3B6B">
        <w:rPr>
          <w:rFonts w:ascii="Times New Roman" w:hAnsi="Times New Roman" w:cs="Times New Roman"/>
          <w:i/>
          <w:sz w:val="24"/>
          <w:szCs w:val="24"/>
        </w:rPr>
        <w:t xml:space="preserve"> (на эту дату будут формироваться остатки с новой аналитикой.</w:t>
      </w:r>
    </w:p>
    <w:p w:rsidR="00C60B1C" w:rsidRPr="004C3B6B" w:rsidRDefault="00AF78DC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40E60" wp14:editId="6BB05CF2">
            <wp:extent cx="4685714" cy="1085714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Настройка</w:t>
      </w:r>
      <w:r w:rsidR="00AF78DC" w:rsidRPr="004C3B6B">
        <w:rPr>
          <w:rFonts w:ascii="Times New Roman" w:hAnsi="Times New Roman" w:cs="Times New Roman"/>
          <w:sz w:val="24"/>
          <w:szCs w:val="24"/>
        </w:rPr>
        <w:t xml:space="preserve"> </w:t>
      </w:r>
      <w:r w:rsidRPr="004C3B6B">
        <w:rPr>
          <w:rFonts w:ascii="Times New Roman" w:hAnsi="Times New Roman" w:cs="Times New Roman"/>
          <w:sz w:val="24"/>
          <w:szCs w:val="24"/>
        </w:rPr>
        <w:t>по датам для сбора и переноса остатков</w:t>
      </w:r>
    </w:p>
    <w:p w:rsidR="004C3B6B" w:rsidRDefault="004C3B6B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Если даты корректны, необходимо нажать кнопку «Сохранить». В левой части реестра отобразится новый созданный элемент с годом, за который собираются остатки в наименовании. В данном случае это будет «20</w:t>
      </w:r>
      <w:r w:rsidR="00AF78DC" w:rsidRPr="004C3B6B">
        <w:rPr>
          <w:rFonts w:ascii="Times New Roman" w:hAnsi="Times New Roman" w:cs="Times New Roman"/>
          <w:sz w:val="24"/>
          <w:szCs w:val="24"/>
        </w:rPr>
        <w:t>20</w:t>
      </w:r>
      <w:r w:rsidRPr="004C3B6B">
        <w:rPr>
          <w:rFonts w:ascii="Times New Roman" w:hAnsi="Times New Roman" w:cs="Times New Roman"/>
          <w:sz w:val="24"/>
          <w:szCs w:val="24"/>
        </w:rPr>
        <w:t>». Созданные элементы по годам можно удалять и редактировать. В случае</w:t>
      </w:r>
      <w:r w:rsidR="00AF78DC" w:rsidRPr="004C3B6B">
        <w:rPr>
          <w:rFonts w:ascii="Times New Roman" w:hAnsi="Times New Roman" w:cs="Times New Roman"/>
          <w:sz w:val="24"/>
          <w:szCs w:val="24"/>
        </w:rPr>
        <w:t>,</w:t>
      </w:r>
      <w:r w:rsidRPr="004C3B6B">
        <w:rPr>
          <w:rFonts w:ascii="Times New Roman" w:hAnsi="Times New Roman" w:cs="Times New Roman"/>
          <w:sz w:val="24"/>
          <w:szCs w:val="24"/>
        </w:rPr>
        <w:t xml:space="preserve"> если в рамках года</w:t>
      </w:r>
      <w:r w:rsidR="00AF78DC" w:rsidRPr="004C3B6B">
        <w:rPr>
          <w:rFonts w:ascii="Times New Roman" w:hAnsi="Times New Roman" w:cs="Times New Roman"/>
          <w:sz w:val="24"/>
          <w:szCs w:val="24"/>
        </w:rPr>
        <w:t>,</w:t>
      </w:r>
      <w:r w:rsidRPr="004C3B6B">
        <w:rPr>
          <w:rFonts w:ascii="Times New Roman" w:hAnsi="Times New Roman" w:cs="Times New Roman"/>
          <w:sz w:val="24"/>
          <w:szCs w:val="24"/>
        </w:rPr>
        <w:t xml:space="preserve"> в правой части реестра уже добавлены Таблицы, редактирование уже невозможно, будет выведено предупреждение: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B6B">
        <w:rPr>
          <w:rFonts w:ascii="Times New Roman" w:hAnsi="Times New Roman" w:cs="Times New Roman"/>
          <w:i/>
          <w:sz w:val="24"/>
          <w:szCs w:val="24"/>
        </w:rPr>
        <w:t>«Нельзя удалить запись, так как она где-то используется!».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B6B">
        <w:rPr>
          <w:rFonts w:ascii="Times New Roman" w:hAnsi="Times New Roman" w:cs="Times New Roman"/>
          <w:b/>
          <w:sz w:val="24"/>
          <w:szCs w:val="24"/>
        </w:rPr>
        <w:t>Работа с правой частью реестра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После того, как добавлен элемент с годом в левой части реестра в правой части реестра можно добавлять Таблицы в рамках данного элемента. Для этого необходимо выбрать элемент в левой части окна и нажать кнопку  </w:t>
      </w: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B6B">
        <w:rPr>
          <w:rFonts w:ascii="Times New Roman" w:hAnsi="Times New Roman" w:cs="Times New Roman"/>
          <w:sz w:val="24"/>
          <w:szCs w:val="24"/>
        </w:rPr>
        <w:t xml:space="preserve"> в правой части окна.</w:t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3855" cy="3132455"/>
            <wp:effectExtent l="0" t="0" r="0" b="0"/>
            <wp:docPr id="23" name="Рисунок 23" descr="C:\Users\bars\YandexDisk\Скриншоты\2019-12-26_10-47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C:\Users\bars\YandexDisk\Скриншоты\2019-12-26_10-47-4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083" cy="318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Создание таблицы по счетам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Откроется конфигур</w:t>
      </w:r>
      <w:r w:rsidR="004C3B6B">
        <w:rPr>
          <w:rFonts w:ascii="Times New Roman" w:hAnsi="Times New Roman" w:cs="Times New Roman"/>
          <w:sz w:val="24"/>
          <w:szCs w:val="24"/>
        </w:rPr>
        <w:t>ационное окно настройки таблицы.</w:t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9235" cy="1296035"/>
            <wp:effectExtent l="0" t="0" r="0" b="0"/>
            <wp:docPr id="20" name="Рисунок 20" descr="C:\Users\bars\YandexDisk\Скриншоты\2019-12-26_09-50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C:\Users\bars\YandexDisk\Скриншоты\2019-12-26_09-50-2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5799" cy="131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Конфигурационное окно создания Таблицы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В данном конфигурационном окне в параметре «Счета» выбираются те счета, остатками которых будет заполняться таблица. Для этого необходимо нажать на </w:t>
      </w:r>
      <w:proofErr w:type="gramStart"/>
      <w:r w:rsidRPr="004C3B6B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B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3B6B">
        <w:rPr>
          <w:rFonts w:ascii="Times New Roman" w:hAnsi="Times New Roman" w:cs="Times New Roman"/>
          <w:sz w:val="24"/>
          <w:szCs w:val="24"/>
        </w:rPr>
        <w:t xml:space="preserve"> Откроется окно для выбора одного ил</w:t>
      </w:r>
      <w:r w:rsidR="004C3B6B">
        <w:rPr>
          <w:rFonts w:ascii="Times New Roman" w:hAnsi="Times New Roman" w:cs="Times New Roman"/>
          <w:sz w:val="24"/>
          <w:szCs w:val="24"/>
        </w:rPr>
        <w:t>и нескольких необходимых счетов.</w:t>
      </w:r>
    </w:p>
    <w:p w:rsidR="004C3B6B" w:rsidRPr="004C3B6B" w:rsidRDefault="004C3B6B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340" cy="3556000"/>
            <wp:effectExtent l="0" t="0" r="0" b="6350"/>
            <wp:docPr id="25" name="Рисунок 25" descr="C:\Users\bars\YandexDisk\Скриншоты\2019-12-26_10-52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C:\Users\bars\YandexDisk\Скриншоты\2019-12-26_10-52-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62" cy="361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Также в конфигурационном окне доступна настройка сборки Таблицы в разрезе ряда дополнительных параметров. Для выбора параметра необходимо проставить галочку </w:t>
      </w: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335" cy="215900"/>
            <wp:effectExtent l="0" t="0" r="0" b="0"/>
            <wp:docPr id="26" name="Рисунок 26" descr="C:\Users\bars\YandexDisk\Скриншоты\2019-12-26_11-0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C:\Users\bars\YandexDisk\Скриншоты\2019-12-26_11-01-3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B6B">
        <w:rPr>
          <w:rFonts w:ascii="Times New Roman" w:hAnsi="Times New Roman" w:cs="Times New Roman"/>
          <w:sz w:val="24"/>
          <w:szCs w:val="24"/>
        </w:rPr>
        <w:t xml:space="preserve">  напротив того или иного значения. 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B6B">
        <w:rPr>
          <w:rFonts w:ascii="Times New Roman" w:hAnsi="Times New Roman" w:cs="Times New Roman"/>
          <w:b/>
          <w:sz w:val="24"/>
          <w:szCs w:val="24"/>
        </w:rPr>
        <w:t xml:space="preserve">Ниже представлено описание </w:t>
      </w:r>
      <w:r w:rsidR="004C3B6B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Pr="004C3B6B">
        <w:rPr>
          <w:rFonts w:ascii="Times New Roman" w:hAnsi="Times New Roman" w:cs="Times New Roman"/>
          <w:b/>
          <w:sz w:val="24"/>
          <w:szCs w:val="24"/>
        </w:rPr>
        <w:t>параметров:</w:t>
      </w:r>
    </w:p>
    <w:p w:rsidR="00C60B1C" w:rsidRPr="004C3B6B" w:rsidRDefault="000C6D11" w:rsidP="004C3B6B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b/>
          <w:sz w:val="24"/>
          <w:szCs w:val="24"/>
        </w:rPr>
        <w:t>Параметр «Договор»</w:t>
      </w:r>
      <w:r w:rsidRPr="004C3B6B">
        <w:rPr>
          <w:rFonts w:ascii="Times New Roman" w:hAnsi="Times New Roman" w:cs="Times New Roman"/>
          <w:sz w:val="24"/>
          <w:szCs w:val="24"/>
        </w:rPr>
        <w:t>. При выборе данного параметра в сборку добавляется разрез договоров, недоступный для изменения в новом периоде (используется как дополнительный информативный разрез);</w:t>
      </w:r>
    </w:p>
    <w:p w:rsidR="00C60B1C" w:rsidRPr="004C3B6B" w:rsidRDefault="000C6D11" w:rsidP="004C3B6B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b/>
          <w:sz w:val="24"/>
          <w:szCs w:val="24"/>
        </w:rPr>
        <w:t>Параметр «МОЛ»</w:t>
      </w:r>
      <w:r w:rsidRPr="004C3B6B">
        <w:rPr>
          <w:rFonts w:ascii="Times New Roman" w:hAnsi="Times New Roman" w:cs="Times New Roman"/>
          <w:sz w:val="24"/>
          <w:szCs w:val="24"/>
        </w:rPr>
        <w:t>. При выборе данного параметра сборка Таблицы осуществляется в разрезе аналитики «МОЛ», доступна настройка новых значений при условии, что аналитика привязана к счету и действует в новом периоде.</w:t>
      </w:r>
    </w:p>
    <w:p w:rsidR="00C60B1C" w:rsidRPr="004C3B6B" w:rsidRDefault="000C6D11" w:rsidP="004C3B6B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b/>
          <w:sz w:val="24"/>
          <w:szCs w:val="24"/>
        </w:rPr>
        <w:t>Параметр «Дебиторы/Кредиторы»</w:t>
      </w:r>
      <w:r w:rsidRPr="004C3B6B">
        <w:rPr>
          <w:rFonts w:ascii="Times New Roman" w:hAnsi="Times New Roman" w:cs="Times New Roman"/>
          <w:sz w:val="24"/>
          <w:szCs w:val="24"/>
        </w:rPr>
        <w:t>. При выборе данного параметра сборка Таблицы осуществляется в разрезе аналитики «Дебиторы и кредиторы», доступна возможность изменения значений при условии, что аналитика привязана к счету и действует в новом периоде.</w:t>
      </w:r>
    </w:p>
    <w:p w:rsidR="00C60B1C" w:rsidRPr="004C3B6B" w:rsidRDefault="000C6D11" w:rsidP="004C3B6B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b/>
          <w:sz w:val="24"/>
          <w:szCs w:val="24"/>
        </w:rPr>
        <w:t>Параметр «КОСГУ»</w:t>
      </w:r>
      <w:r w:rsidRPr="004C3B6B">
        <w:rPr>
          <w:rFonts w:ascii="Times New Roman" w:hAnsi="Times New Roman" w:cs="Times New Roman"/>
          <w:sz w:val="24"/>
          <w:szCs w:val="24"/>
        </w:rPr>
        <w:t xml:space="preserve">. При выборе данного параметра сборка Таблицы осуществляется в разрезе аналитики «КОСГУ», доступна настройка новых значений. 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C3B6B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Сборка таблицы в разрезе «КОСГУ» доступна только для счетов, по которым согласно проектам изменений к приказам 157н, 162н, 174н, 183н предусмотрен перенос на детализированные значения КОСГУ. При попытке активировать параметр до выбора счета, по которому будет собраны остатки, выведется предупреждение: 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4C3B6B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«Выберите счет/счета!»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Если выбран счет, по которому будут собраны остатки, и для него не предусмотрен перенос на детализированные КОСГУ, при попытке выбрать параметр «КОСГУ» будет выведено предупреждение: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4C3B6B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«Разрез "КОСГУ" не может быть выбран! Для указанных Вами счета/счетов ХХХХХ не требуется изменение КОСГУ на детализированное значение»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3B6B">
        <w:rPr>
          <w:rFonts w:ascii="Times New Roman" w:hAnsi="Times New Roman" w:cs="Times New Roman"/>
          <w:color w:val="FF0000"/>
          <w:sz w:val="24"/>
          <w:szCs w:val="24"/>
        </w:rPr>
        <w:t>Обращаем внимание, что для счетов, которые были перенесены в разрезе «КОСГУ», не требуется формирование документов по функции «Перенос остатков на конец года» на 000 КОСГУ.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Также при выборе параметра «КОСГУ» автоматически выбирается параметр «Дебиторы/Кредиторы» так как для счетов расчетов и кредиторами детализированный КОСГУ удобнее определять в паре с контрагентом. В случае необходимости сборки только в разрезе КОСГУ выбор параметра «Дебиторы/кредиторы» можно отменить.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После настройки конфигурационного окна и нажатия </w:t>
      </w:r>
      <w:proofErr w:type="gramStart"/>
      <w:r w:rsidRPr="004C3B6B">
        <w:rPr>
          <w:rFonts w:ascii="Times New Roman" w:hAnsi="Times New Roman" w:cs="Times New Roman"/>
          <w:sz w:val="24"/>
          <w:szCs w:val="24"/>
        </w:rPr>
        <w:t xml:space="preserve">кнопки </w:t>
      </w: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6295" cy="238125"/>
            <wp:effectExtent l="0" t="0" r="1905" b="9525"/>
            <wp:docPr id="29" name="Рисунок 29" descr="C:\Users\bars\YandexDisk\Скриншоты\2019-12-26_11-27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C:\Users\bars\YandexDisk\Скриншоты\2019-12-26_11-27-0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149" cy="24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B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3B6B">
        <w:rPr>
          <w:rFonts w:ascii="Times New Roman" w:hAnsi="Times New Roman" w:cs="Times New Roman"/>
          <w:sz w:val="24"/>
          <w:szCs w:val="24"/>
        </w:rPr>
        <w:t xml:space="preserve"> создастся таблица по счетам в правой части конфигурационного окна реестра. 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Чтобы перейти к заполнению таблицы необходимо ее выбрать и нажать </w:t>
      </w:r>
      <w:proofErr w:type="gramStart"/>
      <w:r w:rsidRPr="004C3B6B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0020" cy="183515"/>
            <wp:effectExtent l="0" t="0" r="0" b="6985"/>
            <wp:docPr id="34" name="Рисунок 34" descr="C:\Users\bars\YandexDisk\Скриншоты\2019-12-26_11-44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C:\Users\bars\YandexDisk\Скриншоты\2019-12-26_11-44-3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1796" cy="19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B6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4C3B6B">
        <w:rPr>
          <w:rFonts w:ascii="Times New Roman" w:hAnsi="Times New Roman" w:cs="Times New Roman"/>
          <w:sz w:val="24"/>
          <w:szCs w:val="24"/>
        </w:rPr>
        <w:t xml:space="preserve"> панели инструментов .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Откроется окно Таблицы, которое состоит из двух групп столбцов «Значение остатков на конец периода» и «Новые значения». Состав столбцов в этих группах может изменяться в зависимости от выбранных параметров при сборке Таблицы.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B6B">
        <w:rPr>
          <w:rFonts w:ascii="Times New Roman" w:hAnsi="Times New Roman" w:cs="Times New Roman"/>
          <w:i/>
          <w:sz w:val="24"/>
          <w:szCs w:val="24"/>
        </w:rPr>
        <w:t>Например, если Таблица собрана без дополнительных параметров, то в ней буд</w:t>
      </w:r>
      <w:r w:rsidR="004C3B6B">
        <w:rPr>
          <w:rFonts w:ascii="Times New Roman" w:hAnsi="Times New Roman" w:cs="Times New Roman"/>
          <w:i/>
          <w:sz w:val="24"/>
          <w:szCs w:val="24"/>
        </w:rPr>
        <w:t>ет набор столбцов по умолчанию</w:t>
      </w:r>
      <w:r w:rsidRPr="004C3B6B">
        <w:rPr>
          <w:rFonts w:ascii="Times New Roman" w:hAnsi="Times New Roman" w:cs="Times New Roman"/>
          <w:i/>
          <w:sz w:val="24"/>
          <w:szCs w:val="24"/>
        </w:rPr>
        <w:t>.</w:t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8480" cy="2494915"/>
            <wp:effectExtent l="0" t="0" r="1270" b="635"/>
            <wp:docPr id="30" name="Рисунок 30" descr="C:\Users\bars\YandexDisk\Скриншоты\2019-12-26_11-37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C:\Users\bars\YandexDisk\Скриншоты\2019-12-26_11-37-07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3041" cy="249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Таблица, собранная без дополнительных параметров</w:t>
      </w:r>
    </w:p>
    <w:p w:rsidR="00C60B1C" w:rsidRDefault="000C6D11" w:rsidP="004C3B6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B6B">
        <w:rPr>
          <w:rFonts w:ascii="Times New Roman" w:hAnsi="Times New Roman" w:cs="Times New Roman"/>
          <w:i/>
          <w:sz w:val="24"/>
          <w:szCs w:val="24"/>
        </w:rPr>
        <w:t>Если Таблица собрана с параметром «Договор», добав</w:t>
      </w:r>
      <w:r w:rsidR="004C3B6B">
        <w:rPr>
          <w:rFonts w:ascii="Times New Roman" w:hAnsi="Times New Roman" w:cs="Times New Roman"/>
          <w:i/>
          <w:sz w:val="24"/>
          <w:szCs w:val="24"/>
        </w:rPr>
        <w:t>ится группа столбцов «Договор»</w:t>
      </w:r>
      <w:r w:rsidRPr="004C3B6B">
        <w:rPr>
          <w:rFonts w:ascii="Times New Roman" w:hAnsi="Times New Roman" w:cs="Times New Roman"/>
          <w:i/>
          <w:sz w:val="24"/>
          <w:szCs w:val="24"/>
        </w:rPr>
        <w:t>.</w:t>
      </w:r>
    </w:p>
    <w:p w:rsidR="004C3B6B" w:rsidRPr="004C3B6B" w:rsidRDefault="004C3B6B" w:rsidP="004C3B6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B6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817235" cy="2553335"/>
            <wp:effectExtent l="0" t="0" r="0" b="0"/>
            <wp:docPr id="31" name="Рисунок 31" descr="C:\Users\bars\YandexDisk\Скриншоты\2019-12-26_11-40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C:\Users\bars\YandexDisk\Скриншоты\2019-12-26_11-40-4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0901" cy="25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1C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Таблица, собранная с параметром «Договор»</w:t>
      </w:r>
    </w:p>
    <w:p w:rsidR="004C3B6B" w:rsidRPr="004C3B6B" w:rsidRDefault="004C3B6B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B6B">
        <w:rPr>
          <w:rFonts w:ascii="Times New Roman" w:hAnsi="Times New Roman" w:cs="Times New Roman"/>
          <w:i/>
          <w:sz w:val="24"/>
          <w:szCs w:val="24"/>
        </w:rPr>
        <w:t>Если Таблица собрана с параметрами «МОЛ», «Дебиторы/Кредиторы» и «КОСГУ», в группы столбцов «Значение остатков на конец периода» и «Новые значения</w:t>
      </w:r>
      <w:r w:rsidR="004C3B6B">
        <w:rPr>
          <w:rFonts w:ascii="Times New Roman" w:hAnsi="Times New Roman" w:cs="Times New Roman"/>
          <w:i/>
          <w:sz w:val="24"/>
          <w:szCs w:val="24"/>
        </w:rPr>
        <w:t>» добавятся одноименные столбцы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B1C" w:rsidRPr="004C3B6B" w:rsidRDefault="000C6D11" w:rsidP="004C3B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B6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012815" cy="2656840"/>
            <wp:effectExtent l="0" t="0" r="6985" b="0"/>
            <wp:docPr id="33" name="Рисунок 33" descr="C:\Users\bars\YandexDisk\Скриншоты\2019-12-26_11-43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C:\Users\bars\YandexDisk\Скриншоты\2019-12-26_11-43-54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281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Таблица, собранная с параметрами «МОЛ»</w:t>
      </w:r>
      <w:r w:rsidRPr="004C3B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B6B">
        <w:rPr>
          <w:rFonts w:ascii="Times New Roman" w:hAnsi="Times New Roman" w:cs="Times New Roman"/>
          <w:sz w:val="24"/>
          <w:szCs w:val="24"/>
        </w:rPr>
        <w:t>«Дебиторы/Кредиторы» и «КОСГУ»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По умолчанию создается пустая Таблица. Для заполнения Таблицы остатков на панели инструментов необходимо нажать </w:t>
      </w:r>
      <w:proofErr w:type="gramStart"/>
      <w:r w:rsidRPr="004C3B6B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B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C3B6B">
        <w:rPr>
          <w:rFonts w:ascii="Times New Roman" w:hAnsi="Times New Roman" w:cs="Times New Roman"/>
          <w:sz w:val="24"/>
          <w:szCs w:val="24"/>
        </w:rPr>
        <w:t xml:space="preserve"> выбрать функцию «Заполнить таблицу». После того, как таблица заполнится система выведет сообщение «Функция успешно выполнена». Нажмите «Ок». 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C3B6B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Примечание: </w:t>
      </w:r>
      <w:proofErr w:type="gramStart"/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</w:t>
      </w:r>
      <w:proofErr w:type="gramEnd"/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случае, если по таблице уже сформирован и зарегистрирован документ в реестре Закрытие года</w:t>
      </w:r>
      <w:r w:rsidR="00E92F9E"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то</w:t>
      </w:r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при выборе функции «Заполнить таблицу» будет выведено предупреждение: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4C3B6B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«В процессе работы функции возникли ошибки! Для таблицы соответствия переноса остатков уже существует документ закрытия года с номером "ХХХХХ" от "ДД.ММ.ГГГГ". Таблица не может быть перезаписана.»</w:t>
      </w:r>
    </w:p>
    <w:p w:rsidR="004C3B6B" w:rsidRDefault="004C3B6B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Заполненная таблица будет иметь </w:t>
      </w:r>
      <w:r w:rsidR="004C3B6B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4C3B6B">
        <w:rPr>
          <w:rFonts w:ascii="Times New Roman" w:hAnsi="Times New Roman" w:cs="Times New Roman"/>
          <w:sz w:val="24"/>
          <w:szCs w:val="24"/>
        </w:rPr>
        <w:t>вид.</w:t>
      </w:r>
    </w:p>
    <w:p w:rsidR="00C60B1C" w:rsidRPr="004C3B6B" w:rsidRDefault="000C6D11" w:rsidP="004C3B6B">
      <w:pPr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5040" cy="2755900"/>
            <wp:effectExtent l="0" t="0" r="381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57846" cy="27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Заполненная таблица по счетам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В столбцах из группы «Значения остатков на конец периода» отображаются остатки по счетам на конец периода с заполненными аналитиками в соответствии с остатками в конфигурируемой оборотной ведомости. Данные столбцы несут информативный характер и недоступны для редактирования.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В столбцы из группы «Новые значения» по умолчанию копируются значения из столбцов группы «Значения остатков на конец периода». Если же аналитики либо значения этих не действуют в новом году, то поля автоматически не заполняются.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Если возникает необходимость переносить остатки на новые аналитики либо изменить существующие значения аналитики, то это можно осуществить как локальным редактированием, так и массовым проставлением значений.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B6B">
        <w:rPr>
          <w:rFonts w:ascii="Times New Roman" w:hAnsi="Times New Roman" w:cs="Times New Roman"/>
          <w:b/>
          <w:sz w:val="24"/>
          <w:szCs w:val="24"/>
        </w:rPr>
        <w:t>Локальное редактирование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Для локального редактирования необходимо выбрать строку остатка и через двойной щелчок или нажатие </w:t>
      </w:r>
      <w:proofErr w:type="gramStart"/>
      <w:r w:rsidRPr="004C3B6B">
        <w:rPr>
          <w:rFonts w:ascii="Times New Roman" w:hAnsi="Times New Roman" w:cs="Times New Roman"/>
          <w:sz w:val="24"/>
          <w:szCs w:val="24"/>
        </w:rPr>
        <w:t xml:space="preserve">кнопки </w:t>
      </w: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" cy="146050"/>
            <wp:effectExtent l="0" t="0" r="3810" b="6350"/>
            <wp:docPr id="35" name="Рисунок 35" descr="C:\Users\bars\YandexDisk\Скриншоты\2019-12-26_13-15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 descr="C:\Users\bars\YandexDisk\Скриншоты\2019-12-26_13-15-35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79" cy="15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B6B">
        <w:rPr>
          <w:rFonts w:ascii="Times New Roman" w:hAnsi="Times New Roman" w:cs="Times New Roman"/>
          <w:sz w:val="24"/>
          <w:szCs w:val="24"/>
        </w:rPr>
        <w:t xml:space="preserve"> открыть</w:t>
      </w:r>
      <w:proofErr w:type="gramEnd"/>
      <w:r w:rsidRPr="004C3B6B">
        <w:rPr>
          <w:rFonts w:ascii="Times New Roman" w:hAnsi="Times New Roman" w:cs="Times New Roman"/>
          <w:sz w:val="24"/>
          <w:szCs w:val="24"/>
        </w:rPr>
        <w:t xml:space="preserve"> о</w:t>
      </w:r>
      <w:r w:rsidR="004C3B6B">
        <w:rPr>
          <w:rFonts w:ascii="Times New Roman" w:hAnsi="Times New Roman" w:cs="Times New Roman"/>
          <w:sz w:val="24"/>
          <w:szCs w:val="24"/>
        </w:rPr>
        <w:t>кно настройки новой аналитики.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6235" cy="3577590"/>
            <wp:effectExtent l="0" t="0" r="571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52246" cy="365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Настройка новой аналитики</w:t>
      </w:r>
    </w:p>
    <w:p w:rsidR="00C60B1C" w:rsidRPr="004C3B6B" w:rsidRDefault="00C60B1C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Задайте новые значения аналитики и нажмите «Сохранить». В поле «Новые значения» </w:t>
      </w:r>
      <w:proofErr w:type="spellStart"/>
      <w:r w:rsidRPr="004C3B6B">
        <w:rPr>
          <w:rFonts w:ascii="Times New Roman" w:hAnsi="Times New Roman" w:cs="Times New Roman"/>
          <w:sz w:val="24"/>
          <w:szCs w:val="24"/>
        </w:rPr>
        <w:t>проставятся</w:t>
      </w:r>
      <w:proofErr w:type="spellEnd"/>
      <w:r w:rsidRPr="004C3B6B">
        <w:rPr>
          <w:rFonts w:ascii="Times New Roman" w:hAnsi="Times New Roman" w:cs="Times New Roman"/>
          <w:sz w:val="24"/>
          <w:szCs w:val="24"/>
        </w:rPr>
        <w:t xml:space="preserve"> выбранные Вами значения. Новый КБК, счет (если с нового года производится </w:t>
      </w:r>
      <w:proofErr w:type="spellStart"/>
      <w:r w:rsidRPr="004C3B6B">
        <w:rPr>
          <w:rFonts w:ascii="Times New Roman" w:hAnsi="Times New Roman" w:cs="Times New Roman"/>
          <w:sz w:val="24"/>
          <w:szCs w:val="24"/>
        </w:rPr>
        <w:t>реклассификация</w:t>
      </w:r>
      <w:proofErr w:type="spellEnd"/>
      <w:r w:rsidRPr="004C3B6B">
        <w:rPr>
          <w:rFonts w:ascii="Times New Roman" w:hAnsi="Times New Roman" w:cs="Times New Roman"/>
          <w:sz w:val="24"/>
          <w:szCs w:val="24"/>
        </w:rPr>
        <w:t xml:space="preserve"> или старый счет прекращает своё действие) и аналитика к счету.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B6B">
        <w:rPr>
          <w:rFonts w:ascii="Times New Roman" w:hAnsi="Times New Roman" w:cs="Times New Roman"/>
          <w:b/>
          <w:sz w:val="24"/>
          <w:szCs w:val="24"/>
        </w:rPr>
        <w:t>Массовое редактирование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Если необходимо проставить новые значения массово по нескольким строкам выберите нужные строки при помощи клавиши </w:t>
      </w:r>
      <w:r w:rsidRPr="004C3B6B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4C3B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C3B6B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4C3B6B">
        <w:rPr>
          <w:rFonts w:ascii="Times New Roman" w:hAnsi="Times New Roman" w:cs="Times New Roman"/>
          <w:sz w:val="24"/>
          <w:szCs w:val="24"/>
        </w:rPr>
        <w:t xml:space="preserve"> затем нажмите </w:t>
      </w:r>
      <w:proofErr w:type="gramStart"/>
      <w:r w:rsidRPr="004C3B6B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52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B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C3B6B">
        <w:rPr>
          <w:rFonts w:ascii="Times New Roman" w:hAnsi="Times New Roman" w:cs="Times New Roman"/>
          <w:sz w:val="24"/>
          <w:szCs w:val="24"/>
        </w:rPr>
        <w:t xml:space="preserve"> выберите функцию «Массовое проставление значений». Если не выделить ни одной строки, функция запустится по всем строкам Таблицы.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Конфигурационное окно функции разделено на четыре вкладки:</w:t>
      </w:r>
    </w:p>
    <w:p w:rsidR="00C60B1C" w:rsidRPr="004C3B6B" w:rsidRDefault="000C6D11" w:rsidP="004C3B6B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КБК. На данной вкладке представлена возможность проставления нового значения КБК в разрезе каждого счета из выбранных строк Таблицы;</w:t>
      </w:r>
    </w:p>
    <w:p w:rsidR="00C60B1C" w:rsidRPr="004C3B6B" w:rsidRDefault="00C60B1C" w:rsidP="004C3B6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9680" cy="3494405"/>
            <wp:effectExtent l="0" t="0" r="1270" b="0"/>
            <wp:docPr id="36" name="Рисунок 36" descr="C:\Users\bars\YandexDisk\Скриншоты\2019-12-26_13-34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C:\Users\bars\YandexDisk\Скриншоты\2019-12-26_13-34-3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8761" cy="356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Конфигурационное окно функции «Массовое проставление значений». </w:t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Вкладка «КБК»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Аналитика КВД. На данной вкладке представлена возможность проставления нового значения Аналитики КВД в разрезе каждого счета и КВД из выбранных строк Таблицы. Проставление новых значений аналитики появляется только в том случае, если к КВД привязана аналитика в соответствующем справочнике (Справочники – Бюджетная классификация – Виды деятельности);</w:t>
      </w:r>
    </w:p>
    <w:p w:rsidR="00C60B1C" w:rsidRPr="004C3B6B" w:rsidRDefault="00C60B1C" w:rsidP="004C3B6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1550" cy="3239770"/>
            <wp:effectExtent l="0" t="0" r="0" b="0"/>
            <wp:docPr id="37" name="Рисунок 37" descr="C:\Users\bars\YandexDisk\Скриншоты\2019-12-26_13-39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 descr="C:\Users\bars\YandexDisk\Скриншоты\2019-12-26_13-39-44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1613" cy="325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Конфигурационное окно функции «Массовое проставление значений». Вкладка «Аналитика КВД»</w:t>
      </w:r>
    </w:p>
    <w:p w:rsidR="00C60B1C" w:rsidRPr="004C3B6B" w:rsidRDefault="000C6D11" w:rsidP="004C3B6B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КОСГУ. Данная вкладка отображается только в том случае, если при сборке Таблицы выбран параметр «КОСГУ». На вкладке представлена возможность проставления новых значений КОСГУ </w:t>
      </w:r>
      <w:proofErr w:type="gramStart"/>
      <w:r w:rsidRPr="004C3B6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C3B6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C3B6B">
        <w:rPr>
          <w:rFonts w:ascii="Times New Roman" w:hAnsi="Times New Roman" w:cs="Times New Roman"/>
          <w:sz w:val="24"/>
          <w:szCs w:val="24"/>
        </w:rPr>
        <w:t xml:space="preserve"> разрезе каждого счета и КОСГУ из выб</w:t>
      </w:r>
      <w:r w:rsidR="004C3B6B">
        <w:rPr>
          <w:rFonts w:ascii="Times New Roman" w:hAnsi="Times New Roman" w:cs="Times New Roman"/>
          <w:sz w:val="24"/>
          <w:szCs w:val="24"/>
        </w:rPr>
        <w:t>ранных строк Таблицы</w:t>
      </w:r>
      <w:r w:rsidRPr="004C3B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B1C" w:rsidRPr="004C3B6B" w:rsidRDefault="000C6D11" w:rsidP="004C3B6B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8840" cy="3174365"/>
            <wp:effectExtent l="0" t="0" r="0" b="6985"/>
            <wp:docPr id="38" name="Рисунок 38" descr="C:\Users\bars\YandexDisk\Скриншоты\2019-12-26_13-48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 descr="C:\Users\bars\YandexDisk\Скриншоты\2019-12-26_13-48-4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033" cy="319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Конфигурационное окно функции «Массовое проставление значений». </w:t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Вкладка «КОСГУ»</w:t>
      </w:r>
    </w:p>
    <w:p w:rsidR="00C60B1C" w:rsidRPr="004C3B6B" w:rsidRDefault="00C60B1C" w:rsidP="004C3B6B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Также если при сборке Таблицы одновременно с параметром «КОСГУ» выбран параметр «Дебиторы/кредиторы», на вкладке появляется возможность проставления новых значений КОСГУ в разрезе не только счета, КОСГУ, но и Дебитора/Кредитора;</w:t>
      </w:r>
    </w:p>
    <w:p w:rsidR="00C60B1C" w:rsidRPr="004C3B6B" w:rsidRDefault="00C60B1C" w:rsidP="004C3B6B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1550" cy="3260090"/>
            <wp:effectExtent l="0" t="0" r="0" b="0"/>
            <wp:docPr id="39" name="Рисунок 39" descr="C:\Users\bars\YandexDisk\Скриншоты\2019-12-26_13-5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 descr="C:\Users\bars\YandexDisk\Скриншоты\2019-12-26_13-50-1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0739" cy="326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Конфигурационное окно функции «Массовое проставление значений». Вкладка «КОСГУ в разрезе Дебиторов/Кредиторов»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Default="000C6D11" w:rsidP="004C3B6B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Счет/аналитика к счету. На данной вкладке представлена возможность проставления нового счета, если старый утрачивает силу, а также проставления значений действующей и новой аналитики к счету </w:t>
      </w:r>
    </w:p>
    <w:p w:rsidR="004C3B6B" w:rsidRPr="004C3B6B" w:rsidRDefault="004C3B6B" w:rsidP="004C3B6B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0C6D11" w:rsidP="004C3B6B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3378200"/>
            <wp:effectExtent l="0" t="0" r="0" b="0"/>
            <wp:docPr id="40" name="Рисунок 40" descr="C:\Users\bars\YandexDisk\Скриншоты\2019-12-26_13-53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 descr="C:\Users\bars\YandexDisk\Скриншоты\2019-12-26_13-53-21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497" cy="339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Конфигурационное окно функции «Массовое проставление значений». Вкладка «Счет/Аналитика к счету»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После того как сделаны все необходимые настройки необходимо нажать кнопку «Применить», значения аналитик в группе столбцов «Новые значения» будут изменены. 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Также в окне есть кнопка «Сохранить». Она предназначена для сохранения задаваемых значений. При нажатии данной кнопки функция запомнит осуществленные настройки, но в самой таблице ничего не изменит. Кнопка «Закрыть» закроет окно функции без каких-либо изменений.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C3B6B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Примечание:</w:t>
      </w:r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Если в доступных для редактирования полях конфигурационного окна функции (КБК, Аналитика КВД, Счет новый, Значение аналитики) не выбрано ни одно значение, и поле пустое, после запуска функции система оставляет значения в таблице по данным полям такими, какие они были до вызова функции.</w:t>
      </w:r>
    </w:p>
    <w:p w:rsidR="00C60B1C" w:rsidRPr="004C3B6B" w:rsidRDefault="00E92F9E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Кнопка удаления </w:t>
      </w:r>
      <w:r w:rsidR="000C6D11" w:rsidRPr="004C3B6B">
        <w:rPr>
          <w:rFonts w:ascii="Times New Roman" w:hAnsi="Times New Roman" w:cs="Times New Roman"/>
          <w:sz w:val="24"/>
          <w:szCs w:val="24"/>
        </w:rPr>
        <w:t xml:space="preserve">на панели </w:t>
      </w:r>
      <w:proofErr w:type="gramStart"/>
      <w:r w:rsidR="000C6D11" w:rsidRPr="004C3B6B">
        <w:rPr>
          <w:rFonts w:ascii="Times New Roman" w:hAnsi="Times New Roman" w:cs="Times New Roman"/>
          <w:sz w:val="24"/>
          <w:szCs w:val="24"/>
        </w:rPr>
        <w:t xml:space="preserve">инструментов </w:t>
      </w:r>
      <w:r w:rsidR="000C6D11"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61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D11" w:rsidRPr="004C3B6B">
        <w:rPr>
          <w:rFonts w:ascii="Times New Roman" w:hAnsi="Times New Roman" w:cs="Times New Roman"/>
          <w:sz w:val="24"/>
          <w:szCs w:val="24"/>
        </w:rPr>
        <w:t xml:space="preserve"> необходима</w:t>
      </w:r>
      <w:proofErr w:type="gramEnd"/>
      <w:r w:rsidR="000C6D11" w:rsidRPr="004C3B6B">
        <w:rPr>
          <w:rFonts w:ascii="Times New Roman" w:hAnsi="Times New Roman" w:cs="Times New Roman"/>
          <w:sz w:val="24"/>
          <w:szCs w:val="24"/>
        </w:rPr>
        <w:t xml:space="preserve"> в случае, когда требуется удалить одну или несколько строк Таблицы.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После настройки Таблицы необходимо перейти ко второму этапу.</w:t>
      </w:r>
    </w:p>
    <w:p w:rsidR="004C3B6B" w:rsidRDefault="004C3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0B1C" w:rsidRPr="004C3B6B" w:rsidRDefault="000C6D11" w:rsidP="004C3B6B">
      <w:pPr>
        <w:pStyle w:val="2"/>
        <w:numPr>
          <w:ilvl w:val="3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63071051"/>
      <w:r w:rsidRPr="004C3B6B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документа переноса по функции «Перенос остатков на начало очередного года» в Закрытии года</w:t>
      </w:r>
      <w:bookmarkEnd w:id="2"/>
    </w:p>
    <w:p w:rsidR="004C3B6B" w:rsidRPr="004C3B6B" w:rsidRDefault="004C3B6B" w:rsidP="004C3B6B">
      <w:pPr>
        <w:pStyle w:val="a7"/>
        <w:ind w:left="0"/>
        <w:jc w:val="center"/>
        <w:rPr>
          <w:b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b/>
          <w:sz w:val="24"/>
          <w:szCs w:val="24"/>
        </w:rPr>
        <w:t>Пункт меню:</w:t>
      </w:r>
      <w:r w:rsidRPr="004C3B6B">
        <w:rPr>
          <w:rFonts w:ascii="Times New Roman" w:hAnsi="Times New Roman" w:cs="Times New Roman"/>
          <w:sz w:val="24"/>
          <w:szCs w:val="24"/>
        </w:rPr>
        <w:t xml:space="preserve"> Администрирование – Закрытие года.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На панели инструментов необходимо нажать </w:t>
      </w:r>
      <w:proofErr w:type="gramStart"/>
      <w:r w:rsidRPr="004C3B6B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809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B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C3B6B">
        <w:rPr>
          <w:rFonts w:ascii="Times New Roman" w:hAnsi="Times New Roman" w:cs="Times New Roman"/>
          <w:sz w:val="24"/>
          <w:szCs w:val="24"/>
        </w:rPr>
        <w:t xml:space="preserve"> выбрать обозначенную выше функцию. В диалоговом окне необходимо выбрать «Да».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Откроется окно настройки параметров переноса остатков. В зависимости от выбранной рабочей даты поле дата будет </w:t>
      </w:r>
      <w:proofErr w:type="spellStart"/>
      <w:r w:rsidRPr="004C3B6B">
        <w:rPr>
          <w:rFonts w:ascii="Times New Roman" w:hAnsi="Times New Roman" w:cs="Times New Roman"/>
          <w:sz w:val="24"/>
          <w:szCs w:val="24"/>
        </w:rPr>
        <w:t>предзаполнено</w:t>
      </w:r>
      <w:proofErr w:type="spellEnd"/>
      <w:r w:rsidRPr="004C3B6B">
        <w:rPr>
          <w:rFonts w:ascii="Times New Roman" w:hAnsi="Times New Roman" w:cs="Times New Roman"/>
          <w:sz w:val="24"/>
          <w:szCs w:val="24"/>
        </w:rPr>
        <w:t xml:space="preserve"> 31-м декабря текущего года. Документ переноса остатков создается по созданным таблицам по счетам. Необходимо выбрать одну или несколько предварительно созданных и заполненных таблиц соответствия переноса остатков, для этого нужно </w:t>
      </w:r>
      <w:proofErr w:type="gramStart"/>
      <w:r w:rsidRPr="004C3B6B">
        <w:rPr>
          <w:rFonts w:ascii="Times New Roman" w:hAnsi="Times New Roman" w:cs="Times New Roman"/>
          <w:sz w:val="24"/>
          <w:szCs w:val="24"/>
        </w:rPr>
        <w:t xml:space="preserve">нажать </w:t>
      </w: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B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C3B6B">
        <w:rPr>
          <w:rFonts w:ascii="Times New Roman" w:hAnsi="Times New Roman" w:cs="Times New Roman"/>
          <w:sz w:val="24"/>
          <w:szCs w:val="24"/>
        </w:rPr>
        <w:t xml:space="preserve"> поле «Выбор таблицы соответствия». Откроется окно</w:t>
      </w:r>
      <w:r w:rsidR="004C3B6B">
        <w:rPr>
          <w:rFonts w:ascii="Times New Roman" w:hAnsi="Times New Roman" w:cs="Times New Roman"/>
          <w:sz w:val="24"/>
          <w:szCs w:val="24"/>
        </w:rPr>
        <w:t xml:space="preserve"> для выбора таблицы</w:t>
      </w:r>
      <w:r w:rsidRPr="004C3B6B">
        <w:rPr>
          <w:rFonts w:ascii="Times New Roman" w:hAnsi="Times New Roman" w:cs="Times New Roman"/>
          <w:sz w:val="24"/>
          <w:szCs w:val="24"/>
        </w:rPr>
        <w:t>. Далее требуется выбрать нужные таблицы для переноса и нажать «Выбрать».</w:t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29527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B1C" w:rsidRPr="004C3B6B" w:rsidRDefault="000C6D11" w:rsidP="004C3B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>Выбор таблицы соответствия</w:t>
      </w:r>
    </w:p>
    <w:p w:rsidR="004C3B6B" w:rsidRDefault="004C3B6B" w:rsidP="004C3B6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C3B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Примечание:</w:t>
      </w:r>
      <w:r w:rsidRPr="004C3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 открытии списка таблиц соответствия переноса остатков для выбора отобразятся таблицы, заполненные в том году, который указан в конфигурационном окне параметров функции. Т.е. если функция формируется на 31.12.201</w:t>
      </w:r>
      <w:r w:rsidR="00E92F9E"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9</w:t>
      </w:r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года, то открывается список таблиц за 201</w:t>
      </w:r>
      <w:r w:rsidR="00E92F9E"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9</w:t>
      </w:r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год. Если на 31.12.20</w:t>
      </w:r>
      <w:r w:rsidR="00E92F9E"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20</w:t>
      </w:r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то список открывается за 20</w:t>
      </w:r>
      <w:r w:rsidR="00E92F9E"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20</w:t>
      </w:r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год.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Если по выбранным таблицам соответствия переноса остатков уже сформированы и зарегистрированы документы переноса остатков на начало года, при нажатии кнопки "далее" будет выводиться предупреждающее сообщение "По выбранным таблицам соответствия переноса остатков уже есть зарегистрированные документы" - документ переноса не создается;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 выборе нескольких таблиц соответствия функция создаст документ переноса по каждой таблице отдельно.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6B">
        <w:rPr>
          <w:rFonts w:ascii="Times New Roman" w:hAnsi="Times New Roman" w:cs="Times New Roman"/>
          <w:sz w:val="24"/>
          <w:szCs w:val="24"/>
        </w:rPr>
        <w:t xml:space="preserve">Затем требуется нажать «Далее». Система создаст документ на дату 01 января следующего года. Так же автоматически в примечании документа </w:t>
      </w:r>
      <w:proofErr w:type="spellStart"/>
      <w:r w:rsidRPr="004C3B6B">
        <w:rPr>
          <w:rFonts w:ascii="Times New Roman" w:hAnsi="Times New Roman" w:cs="Times New Roman"/>
          <w:sz w:val="24"/>
          <w:szCs w:val="24"/>
        </w:rPr>
        <w:t>проставятся</w:t>
      </w:r>
      <w:proofErr w:type="spellEnd"/>
      <w:r w:rsidRPr="004C3B6B">
        <w:rPr>
          <w:rFonts w:ascii="Times New Roman" w:hAnsi="Times New Roman" w:cs="Times New Roman"/>
          <w:sz w:val="24"/>
          <w:szCs w:val="24"/>
        </w:rPr>
        <w:t xml:space="preserve"> коды счетов, по которым делается перенос. Для завершения переноса, необходимо зарегистрировать данный документ. 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C3B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Примечание:</w:t>
      </w:r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gramStart"/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</w:t>
      </w:r>
      <w:proofErr w:type="gramEnd"/>
      <w:r w:rsidRPr="004C3B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случае если по Таблице уже был сформирован документ переноса, даже если он не зарегистрирован, изменение параметров сборки невозможно. При попытке редактирования будет выводиться предупреждение:</w:t>
      </w:r>
    </w:p>
    <w:p w:rsidR="00C60B1C" w:rsidRPr="004C3B6B" w:rsidRDefault="000C6D11" w:rsidP="004C3B6B">
      <w:pPr>
        <w:ind w:firstLine="567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4C3B6B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«По указанной таблице существуют документы в закрытии года»</w:t>
      </w: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1C" w:rsidRPr="004C3B6B" w:rsidRDefault="00C60B1C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0B1C" w:rsidRPr="004C3B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7625C"/>
    <w:multiLevelType w:val="multilevel"/>
    <w:tmpl w:val="3F37625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9256519"/>
    <w:multiLevelType w:val="multilevel"/>
    <w:tmpl w:val="49256519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6DD04CC"/>
    <w:multiLevelType w:val="multilevel"/>
    <w:tmpl w:val="66DD04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71"/>
    <w:rsid w:val="00090389"/>
    <w:rsid w:val="000C6D11"/>
    <w:rsid w:val="00114AB3"/>
    <w:rsid w:val="00250D3B"/>
    <w:rsid w:val="00251D46"/>
    <w:rsid w:val="0032467D"/>
    <w:rsid w:val="00334B4C"/>
    <w:rsid w:val="00340628"/>
    <w:rsid w:val="00377034"/>
    <w:rsid w:val="003E5978"/>
    <w:rsid w:val="00494DF2"/>
    <w:rsid w:val="004B3823"/>
    <w:rsid w:val="004C3B6B"/>
    <w:rsid w:val="005073BD"/>
    <w:rsid w:val="00522986"/>
    <w:rsid w:val="00522C12"/>
    <w:rsid w:val="00540B86"/>
    <w:rsid w:val="005B6B8D"/>
    <w:rsid w:val="005F68B0"/>
    <w:rsid w:val="006B15F8"/>
    <w:rsid w:val="0070263B"/>
    <w:rsid w:val="007617A1"/>
    <w:rsid w:val="00782DCB"/>
    <w:rsid w:val="007C0BA1"/>
    <w:rsid w:val="00830439"/>
    <w:rsid w:val="008738F7"/>
    <w:rsid w:val="008F055E"/>
    <w:rsid w:val="009B2FDA"/>
    <w:rsid w:val="009C4BC0"/>
    <w:rsid w:val="00A444AE"/>
    <w:rsid w:val="00A92797"/>
    <w:rsid w:val="00AA2E7C"/>
    <w:rsid w:val="00AB5F9B"/>
    <w:rsid w:val="00AF78DC"/>
    <w:rsid w:val="00B14601"/>
    <w:rsid w:val="00B345A1"/>
    <w:rsid w:val="00B91CB9"/>
    <w:rsid w:val="00C60B1C"/>
    <w:rsid w:val="00C85A5D"/>
    <w:rsid w:val="00CE16FD"/>
    <w:rsid w:val="00D32E5F"/>
    <w:rsid w:val="00D33F45"/>
    <w:rsid w:val="00D36A75"/>
    <w:rsid w:val="00D632F2"/>
    <w:rsid w:val="00E40630"/>
    <w:rsid w:val="00E4765B"/>
    <w:rsid w:val="00E61199"/>
    <w:rsid w:val="00E92F9E"/>
    <w:rsid w:val="00F06A71"/>
    <w:rsid w:val="00F45AC4"/>
    <w:rsid w:val="00F518B2"/>
    <w:rsid w:val="686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839DB-2DC8-48DE-938E-1E8B98FE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0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3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sp-highlight-term">
    <w:name w:val="sp-highlight-term"/>
    <w:basedOn w:val="a0"/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styleId="a8">
    <w:name w:val="Hyperlink"/>
    <w:uiPriority w:val="99"/>
    <w:rsid w:val="00540B86"/>
    <w:rPr>
      <w:color w:val="0000FF"/>
      <w:u w:val="single"/>
    </w:rPr>
  </w:style>
  <w:style w:type="paragraph" w:customStyle="1" w:styleId="11">
    <w:name w:val="Обычный (веб)1"/>
    <w:rsid w:val="00540B86"/>
    <w:pPr>
      <w:suppressAutoHyphens/>
      <w:spacing w:before="28" w:line="276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4C3B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40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9">
    <w:name w:val="TOC Heading"/>
    <w:basedOn w:val="1"/>
    <w:next w:val="a"/>
    <w:uiPriority w:val="39"/>
    <w:unhideWhenUsed/>
    <w:qFormat/>
    <w:rsid w:val="0034062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4062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ception@obt-vlg.ru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eption@obt-vlg.ru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eception@obt-vlg.ru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hyperlink" Target="mailto:reception@obt-vlg.ru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eception@obt-vlg.ru" TargetMode="External"/><Relationship Id="rId14" Type="http://schemas.openxmlformats.org/officeDocument/2006/relationships/hyperlink" Target="mailto:reception@obt-vlg.ru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12" Type="http://schemas.openxmlformats.org/officeDocument/2006/relationships/hyperlink" Target="mailto:reception@obt-vlg.ru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0" Type="http://schemas.openxmlformats.org/officeDocument/2006/relationships/image" Target="media/image7.png"/><Relationship Id="rId4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40420-DDF6-4B88-BDC4-FC2DAD70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Романов</dc:creator>
  <cp:lastModifiedBy>RePack by Diakov</cp:lastModifiedBy>
  <cp:revision>5</cp:revision>
  <dcterms:created xsi:type="dcterms:W3CDTF">2021-02-01T07:33:00Z</dcterms:created>
  <dcterms:modified xsi:type="dcterms:W3CDTF">2021-02-01T12:05:00Z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